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CE" w:rsidRDefault="000212CE" w:rsidP="00CB7715">
      <w:pPr>
        <w:pStyle w:val="Bezodstpw"/>
      </w:pPr>
      <w:bookmarkStart w:id="0" w:name="_GoBack"/>
      <w:bookmarkEnd w:id="0"/>
    </w:p>
    <w:p w:rsidR="000212CE" w:rsidRPr="00547F1D" w:rsidRDefault="001F3311" w:rsidP="008754B6">
      <w:pPr>
        <w:tabs>
          <w:tab w:val="left" w:pos="0"/>
        </w:tabs>
        <w:spacing w:after="0" w:line="240" w:lineRule="auto"/>
        <w:ind w:righ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Instrukcja do karty opisu operacji </w:t>
      </w:r>
      <w:r w:rsidR="00547F1D" w:rsidRPr="00547F1D">
        <w:rPr>
          <w:rFonts w:ascii="Times New Roman" w:hAnsi="Times New Roman"/>
          <w:b/>
        </w:rPr>
        <w:t>dla wsparcia</w:t>
      </w:r>
      <w:r w:rsidR="000212CE" w:rsidRPr="00547F1D">
        <w:rPr>
          <w:rFonts w:ascii="Times New Roman" w:hAnsi="Times New Roman"/>
          <w:b/>
        </w:rPr>
        <w:t xml:space="preserve"> przedsiębiorczości na obszarze LSR- rozwijanie działalności gospodarczej – dofinansowanie w ramach PROW</w:t>
      </w:r>
      <w:r w:rsidR="008754B6">
        <w:rPr>
          <w:rFonts w:ascii="Times New Roman" w:hAnsi="Times New Roman"/>
          <w:b/>
        </w:rPr>
        <w:t xml:space="preserve"> oraz jej opis</w:t>
      </w:r>
      <w:r w:rsidR="000212CE" w:rsidRPr="00547F1D">
        <w:rPr>
          <w:rFonts w:ascii="Times New Roman" w:hAnsi="Times New Roman"/>
          <w:b/>
        </w:rPr>
        <w:t>.</w:t>
      </w:r>
    </w:p>
    <w:p w:rsidR="000212CE" w:rsidRDefault="000212CE" w:rsidP="000212CE">
      <w:pPr>
        <w:tabs>
          <w:tab w:val="left" w:pos="0"/>
        </w:tabs>
        <w:spacing w:after="0" w:line="360" w:lineRule="auto"/>
        <w:ind w:right="-709" w:hanging="425"/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ab/>
      </w:r>
      <w:r w:rsidRPr="00D12018">
        <w:rPr>
          <w:rFonts w:ascii="Times New Roman" w:hAnsi="Times New Roman"/>
          <w:b/>
          <w:snapToGrid w:val="0"/>
        </w:rPr>
        <w:t xml:space="preserve">(max. </w:t>
      </w:r>
      <w:r>
        <w:rPr>
          <w:rFonts w:ascii="Times New Roman" w:hAnsi="Times New Roman"/>
          <w:b/>
          <w:snapToGrid w:val="0"/>
        </w:rPr>
        <w:t>liczba: 100 pkt., min. liczba: 4</w:t>
      </w:r>
      <w:r w:rsidRPr="00D12018">
        <w:rPr>
          <w:rFonts w:ascii="Times New Roman" w:hAnsi="Times New Roman"/>
          <w:b/>
          <w:snapToGrid w:val="0"/>
        </w:rPr>
        <w:t>0 pkt.)</w:t>
      </w:r>
    </w:p>
    <w:tbl>
      <w:tblPr>
        <w:tblW w:w="15459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69"/>
        <w:gridCol w:w="1842"/>
        <w:gridCol w:w="567"/>
        <w:gridCol w:w="426"/>
        <w:gridCol w:w="283"/>
        <w:gridCol w:w="709"/>
        <w:gridCol w:w="283"/>
        <w:gridCol w:w="142"/>
        <w:gridCol w:w="142"/>
        <w:gridCol w:w="992"/>
        <w:gridCol w:w="7229"/>
      </w:tblGrid>
      <w:tr w:rsidR="007D5844" w:rsidRPr="007D5844" w:rsidTr="000B419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2CE" w:rsidRPr="007D5844" w:rsidRDefault="000212CE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12CE" w:rsidRPr="007D5844" w:rsidRDefault="000212CE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Kryterium lokalne -nazwa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2CE" w:rsidRPr="007D5844" w:rsidRDefault="000212CE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Punktacja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2CE" w:rsidRPr="007D5844" w:rsidRDefault="000212CE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Opis kryterium</w:t>
            </w:r>
          </w:p>
        </w:tc>
      </w:tr>
      <w:tr w:rsidR="007D5844" w:rsidRPr="007D5844" w:rsidTr="000B4197">
        <w:tblPrEx>
          <w:shd w:val="clear" w:color="auto" w:fill="FFFFFF"/>
        </w:tblPrEx>
        <w:trPr>
          <w:trHeight w:val="6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465" w:rsidRPr="007D5844" w:rsidRDefault="003D6465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465" w:rsidRPr="007D5844" w:rsidRDefault="003D6465" w:rsidP="00547F1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Doświadczenie </w:t>
            </w: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w realizacji projektów w ramach środków </w:t>
            </w:r>
            <w:r w:rsidR="00D666D4"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zewnętrznych</w:t>
            </w:r>
            <w:r w:rsidR="0033702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465" w:rsidRPr="007D5844" w:rsidRDefault="003D6465" w:rsidP="000212CE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Wnioskodawca uzyskał wsparcie realizując projekty ze wsparciem środków z UE: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465" w:rsidRPr="007D5844" w:rsidRDefault="003D6465" w:rsidP="002C2D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Oceniane jest </w:t>
            </w:r>
            <w:r w:rsidR="0033702A">
              <w:rPr>
                <w:rFonts w:asciiTheme="minorHAnsi" w:hAnsiTheme="minorHAnsi" w:cstheme="minorHAnsi"/>
                <w:sz w:val="20"/>
                <w:szCs w:val="20"/>
              </w:rPr>
              <w:t xml:space="preserve">doświadczenie. </w:t>
            </w:r>
            <w:r w:rsidR="00CC6915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Wnioskodawcy 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w realizacji projektów z udziałem środków </w:t>
            </w:r>
            <w:r w:rsidR="00D666D4" w:rsidRPr="007D5844">
              <w:rPr>
                <w:rFonts w:asciiTheme="minorHAnsi" w:hAnsiTheme="minorHAnsi" w:cstheme="minorHAnsi"/>
                <w:sz w:val="20"/>
                <w:szCs w:val="20"/>
              </w:rPr>
              <w:t>zewnętrznych w tym w szczególności środków unijnych, ale również innych środków pomocowych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, wnioskodawca</w:t>
            </w:r>
            <w:r w:rsidR="00CC6915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przedkłada </w:t>
            </w:r>
            <w:r w:rsidR="00CB7715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6915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kopie dokumentacji rozliczeniowej dany projekt w celu wykazania rozliczenia pozyskanych środków zewnętrznych. Zakres czasowy operacji obejmuje zarówno projekty z perspektywy finansowej 2014-2020 jak również 2007-2013. Doświadczenie w realizacji projektów nie musi dotyczyć realizacji projektów zbliżonych zakresem przedmiotowym do wspieranej operacji. </w:t>
            </w:r>
          </w:p>
          <w:p w:rsidR="00C56D32" w:rsidRPr="007D5844" w:rsidRDefault="00C56D32" w:rsidP="002C2D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Maksymalna liczba punktów 2 pkt. Punkty w ramach kryterium nie sumują się.</w:t>
            </w:r>
          </w:p>
        </w:tc>
      </w:tr>
      <w:tr w:rsidR="007D5844" w:rsidRPr="007D5844" w:rsidTr="000B4197">
        <w:tblPrEx>
          <w:shd w:val="clear" w:color="auto" w:fill="FFFFFF"/>
        </w:tblPrEx>
        <w:trPr>
          <w:trHeight w:val="3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465" w:rsidRPr="007D5844" w:rsidRDefault="003D6465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465" w:rsidRPr="007D5844" w:rsidRDefault="003D6465" w:rsidP="0056716D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465" w:rsidRPr="007D5844" w:rsidRDefault="003D6465" w:rsidP="000B4197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– jeden  projekt</w:t>
            </w:r>
            <w:r w:rsidR="000B4197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66D4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lub</w:t>
            </w:r>
            <w:r w:rsidR="00CB7715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4197" w:rsidRPr="007D5844">
              <w:rPr>
                <w:rFonts w:asciiTheme="minorHAnsi" w:hAnsiTheme="minorHAnsi" w:cstheme="minorHAnsi"/>
                <w:sz w:val="20"/>
                <w:szCs w:val="20"/>
              </w:rPr>
              <w:t>więcej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465" w:rsidRPr="007D5844" w:rsidRDefault="003D6465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2 pkt.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465" w:rsidRPr="007D5844" w:rsidRDefault="003D6465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844" w:rsidRPr="007D5844" w:rsidTr="000B4197">
        <w:tblPrEx>
          <w:shd w:val="clear" w:color="auto" w:fill="FFFFFF"/>
        </w:tblPrEx>
        <w:trPr>
          <w:trHeight w:val="15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465" w:rsidRPr="007D5844" w:rsidRDefault="003D6465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465" w:rsidRPr="007D5844" w:rsidRDefault="003D6465" w:rsidP="0056716D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465" w:rsidRPr="007D5844" w:rsidRDefault="003D6465" w:rsidP="0056716D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– brak projektów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465" w:rsidRPr="007D5844" w:rsidRDefault="003D6465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0 pkt.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465" w:rsidRPr="007D5844" w:rsidRDefault="003D6465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844" w:rsidRPr="007D5844" w:rsidTr="000B4197">
        <w:tblPrEx>
          <w:shd w:val="clear" w:color="auto" w:fill="FFFFFF"/>
        </w:tblPrEx>
        <w:trPr>
          <w:trHeight w:val="11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197" w:rsidRPr="007D5844" w:rsidRDefault="000B4197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97" w:rsidRPr="007D5844" w:rsidRDefault="000B4197" w:rsidP="0056716D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Zaangażowanie </w:t>
            </w: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w tworzenie LSR </w:t>
            </w:r>
            <w:r w:rsidR="007C15BD"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Lider Pojezierza </w:t>
            </w: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2014-2020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197" w:rsidRPr="007D5844" w:rsidRDefault="000B4197" w:rsidP="00CB7715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Zaangażowanie wnioskodawcy w tworzeniu LSR </w:t>
            </w:r>
            <w:r w:rsidR="007C15BD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Lider Pojezierza 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2014-2020 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D32" w:rsidRPr="007D5844" w:rsidRDefault="000B4197" w:rsidP="00CB77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Wnioskodawca w karcie opisu powinien wskazać sposób zaangażowania w tworzeniu LSR </w:t>
            </w:r>
            <w:r w:rsidR="007C15BD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Lider Pojezierza 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2014-2020. </w:t>
            </w:r>
            <w:r w:rsidR="007C15BD" w:rsidRPr="007D5844">
              <w:rPr>
                <w:rFonts w:asciiTheme="minorHAnsi" w:hAnsiTheme="minorHAnsi" w:cstheme="minorHAnsi"/>
                <w:sz w:val="20"/>
                <w:szCs w:val="20"/>
              </w:rPr>
              <w:t>Preferuje się Wnioskodawców którzy uczestniczyli  pracy nad projektem lokalnej strategii rozwoju poprzez składanie fiszek projektowych lub grupach lub zespołach pracujących nad przygotowaniem projektu LSR. Wnioskodawca powinien p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odać tytuł fiszki projektowej lub </w:t>
            </w:r>
            <w:r w:rsidR="007C15BD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opisać 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udział w zespole ds. budowy LSR. </w:t>
            </w:r>
            <w:r w:rsidR="00C56D32" w:rsidRPr="007D5844">
              <w:rPr>
                <w:rFonts w:asciiTheme="minorHAnsi" w:hAnsiTheme="minorHAnsi" w:cstheme="minorHAnsi"/>
                <w:sz w:val="20"/>
                <w:szCs w:val="20"/>
              </w:rPr>
              <w:t>Maksymalna liczba punktów 3 pkt. Punkty w ramach kryterium nie sumują się.</w:t>
            </w:r>
          </w:p>
        </w:tc>
      </w:tr>
      <w:tr w:rsidR="007D5844" w:rsidRPr="007D5844" w:rsidTr="008107B5">
        <w:tblPrEx>
          <w:shd w:val="clear" w:color="auto" w:fill="FFFFFF"/>
        </w:tblPrEx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197" w:rsidRPr="007D5844" w:rsidRDefault="000B4197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97" w:rsidRPr="007D5844" w:rsidRDefault="000B4197" w:rsidP="0056716D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97" w:rsidRPr="007D5844" w:rsidRDefault="000B4197" w:rsidP="0056716D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– Tak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97" w:rsidRPr="007D5844" w:rsidRDefault="000B4197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3 pkt.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97" w:rsidRPr="007D5844" w:rsidRDefault="000B4197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844" w:rsidRPr="007D5844" w:rsidTr="00B23CCC">
        <w:tblPrEx>
          <w:shd w:val="clear" w:color="auto" w:fill="FFFFFF"/>
        </w:tblPrEx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197" w:rsidRPr="007D5844" w:rsidRDefault="000B4197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97" w:rsidRPr="007D5844" w:rsidRDefault="000B4197" w:rsidP="0056716D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97" w:rsidRPr="007D5844" w:rsidRDefault="000B4197" w:rsidP="0056716D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– Nie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97" w:rsidRPr="007D5844" w:rsidRDefault="000B4197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0 pkt.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97" w:rsidRPr="007D5844" w:rsidRDefault="000B4197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844" w:rsidRPr="007D5844" w:rsidTr="00D5245A">
        <w:tblPrEx>
          <w:shd w:val="clear" w:color="auto" w:fill="FFFFFF"/>
        </w:tblPrEx>
        <w:trPr>
          <w:trHeight w:val="99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331" w:rsidRPr="007D5844" w:rsidRDefault="009C2331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331" w:rsidRPr="007D5844" w:rsidRDefault="007C7CD6" w:rsidP="005671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Czy operacja jest innowacyjna ?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331" w:rsidRPr="007D5844" w:rsidRDefault="009C2331" w:rsidP="0056716D">
            <w:pPr>
              <w:spacing w:after="0" w:line="240" w:lineRule="auto"/>
              <w:ind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Wnioskodawca wskazał na innowacyjność realizowanej operacji, odnosząc się do definicji innowacyjności zawartej w LSR: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CD6" w:rsidRPr="007D5844" w:rsidRDefault="009C2331" w:rsidP="002C2DF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Preferuje się operacje innowacyjne. Przez innowacyjność należy rozumieć zastosowanie lub wprowadzenie nowych lub ulepszonych produktów,  procesów (technologii), metod organizacji lub marketingu, lub praktyczne wykorzystanie lokalnych zasobów unikalnych i charakterystycznych na obszarze LSR (przyrodniczych, historycznych, kulturowych czy społecznych, czy też nowe metody zaangażowania społeczności lokalnej). Innowacyjne może być ich nietypowe, niestandardowe wykorzystanie czy </w:t>
            </w:r>
            <w:r w:rsidR="00C56D32" w:rsidRPr="007D5844">
              <w:rPr>
                <w:rFonts w:asciiTheme="minorHAnsi" w:hAnsiTheme="minorHAnsi" w:cstheme="minorHAnsi"/>
                <w:sz w:val="20"/>
                <w:szCs w:val="20"/>
              </w:rPr>
              <w:t>innowacyjna forma promocji</w:t>
            </w:r>
            <w:r w:rsidR="007C15BD" w:rsidRPr="007D58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Przykłady: wytworzenie nowej usługi lub produktu, nadanie nowych funkcji terenom lub obiektom, które dzięki będą temu służyć rozwojowi, społecznemu bądź gospodarczemu, nowatorskie, wcześniej 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niestosowane wykorzystanie lokalnych zasobów i surowców, wprowadzenie nowoczesnych  rozwiązań technicznych i technologicznych, nowy sposób zaangażowania lokalnej społeczności w proces rozwoju lub aktywizacji nowych, grup i środowisk lokalnych. </w:t>
            </w:r>
          </w:p>
          <w:p w:rsidR="009C2331" w:rsidRPr="007D5844" w:rsidRDefault="009C2331" w:rsidP="002C2D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Wnioskodawca  uzasadnia /udowadnia innowacyjny charakter operacji</w:t>
            </w:r>
            <w:r w:rsidR="000E4705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wskazując czy na terenie gminy, powiatu bądź całego obszaru LSR działają inne firmy, które świadczą usługi lub dostarczają produkty zbliżone zakresem z tymi które oferuje lub zamierza oferować Wnioskodawca. </w:t>
            </w:r>
          </w:p>
          <w:p w:rsidR="009C2331" w:rsidRPr="007D5844" w:rsidRDefault="009C2331" w:rsidP="00A960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i/>
                <w:sz w:val="20"/>
                <w:szCs w:val="20"/>
              </w:rPr>
              <w:t>Maksymalna liczba punktów 15 pkt. Punkty w ramach kryterium nie sumują się.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D5844" w:rsidRPr="007D5844" w:rsidTr="00D5245A">
        <w:tblPrEx>
          <w:shd w:val="clear" w:color="auto" w:fill="FFFFFF"/>
        </w:tblPrEx>
        <w:trPr>
          <w:trHeight w:val="12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331" w:rsidRPr="007D5844" w:rsidRDefault="009C2331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331" w:rsidRPr="007D5844" w:rsidRDefault="009C2331" w:rsidP="0056716D">
            <w:pPr>
              <w:spacing w:after="0" w:line="240" w:lineRule="auto"/>
              <w:ind w:right="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331" w:rsidRPr="007D5844" w:rsidRDefault="009C2331" w:rsidP="0056716D">
            <w:pPr>
              <w:spacing w:after="0" w:line="240" w:lineRule="auto"/>
              <w:ind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- operacja jest innowacyjna </w:t>
            </w:r>
            <w:r w:rsidR="000E4705" w:rsidRPr="007D5844">
              <w:rPr>
                <w:rFonts w:asciiTheme="minorHAnsi" w:hAnsiTheme="minorHAnsi" w:cstheme="minorHAnsi"/>
                <w:sz w:val="20"/>
                <w:szCs w:val="20"/>
              </w:rPr>
              <w:t>na skalę całego obszaru LSR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, rozumian</w:t>
            </w:r>
            <w:r w:rsidR="000E4705" w:rsidRPr="007D5844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jako obszar wszystkich 13 gmin</w:t>
            </w:r>
            <w:r w:rsidR="000E4705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członkowskich LGD Lider Pojezierza </w:t>
            </w:r>
          </w:p>
          <w:p w:rsidR="009C2331" w:rsidRPr="007D5844" w:rsidRDefault="009C2331" w:rsidP="0056716D">
            <w:pPr>
              <w:spacing w:after="0" w:line="240" w:lineRule="auto"/>
              <w:ind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331" w:rsidRPr="007D5844" w:rsidRDefault="009C2331" w:rsidP="009C2331">
            <w:pPr>
              <w:spacing w:after="0" w:line="240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15 pkt.</w:t>
            </w:r>
          </w:p>
          <w:p w:rsidR="009C2331" w:rsidRPr="007D5844" w:rsidRDefault="009C2331" w:rsidP="00026EB8">
            <w:pPr>
              <w:spacing w:after="0" w:line="240" w:lineRule="auto"/>
              <w:ind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31" w:rsidRPr="007D5844" w:rsidRDefault="009C2331" w:rsidP="009C2331">
            <w:pPr>
              <w:spacing w:after="0" w:line="240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844" w:rsidRPr="007D5844" w:rsidTr="00D5245A">
        <w:tblPrEx>
          <w:shd w:val="clear" w:color="auto" w:fill="FFFFFF"/>
        </w:tblPrEx>
        <w:trPr>
          <w:trHeight w:val="12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331" w:rsidRPr="007D5844" w:rsidRDefault="009C2331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331" w:rsidRPr="007D5844" w:rsidRDefault="009C2331" w:rsidP="0056716D">
            <w:pPr>
              <w:spacing w:after="0" w:line="240" w:lineRule="auto"/>
              <w:ind w:right="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331" w:rsidRPr="007D5844" w:rsidRDefault="009C2331" w:rsidP="0033702A">
            <w:pPr>
              <w:spacing w:after="0" w:line="240" w:lineRule="auto"/>
              <w:ind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- operacja jest innowacyjna </w:t>
            </w:r>
            <w:r w:rsidR="00C32410">
              <w:rPr>
                <w:rFonts w:asciiTheme="minorHAnsi" w:hAnsiTheme="minorHAnsi" w:cstheme="minorHAnsi"/>
                <w:sz w:val="20"/>
                <w:szCs w:val="20"/>
              </w:rPr>
              <w:t xml:space="preserve"> na terenie powiatu na której będzie realizowana niniejsza operacja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331" w:rsidRPr="007D5844" w:rsidRDefault="009C2331" w:rsidP="0056716D">
            <w:pPr>
              <w:spacing w:after="0" w:line="240" w:lineRule="auto"/>
              <w:ind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7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31" w:rsidRPr="007D5844" w:rsidRDefault="009C2331" w:rsidP="00026EB8">
            <w:pPr>
              <w:spacing w:after="0" w:line="240" w:lineRule="auto"/>
              <w:ind w:right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5844" w:rsidRPr="007D5844" w:rsidTr="00D5245A">
        <w:tblPrEx>
          <w:shd w:val="clear" w:color="auto" w:fill="FFFFFF"/>
        </w:tblPrEx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331" w:rsidRPr="007D5844" w:rsidRDefault="009C2331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331" w:rsidRPr="007D5844" w:rsidRDefault="009C2331" w:rsidP="0056716D">
            <w:pPr>
              <w:spacing w:after="0" w:line="240" w:lineRule="auto"/>
              <w:ind w:right="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331" w:rsidRPr="007D5844" w:rsidRDefault="009C2331" w:rsidP="00A96076">
            <w:pPr>
              <w:spacing w:after="0" w:line="240" w:lineRule="auto"/>
              <w:ind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- operacja jest innowacyjna na</w:t>
            </w:r>
            <w:r w:rsidR="000E4705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skalę gminy miejsca realizacji operacji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331" w:rsidRPr="007D5844" w:rsidRDefault="009C2331" w:rsidP="0056716D">
            <w:pPr>
              <w:spacing w:after="0" w:line="240" w:lineRule="auto"/>
              <w:ind w:right="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5 pkt</w:t>
            </w:r>
          </w:p>
        </w:tc>
        <w:tc>
          <w:tcPr>
            <w:tcW w:w="7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31" w:rsidRPr="007D5844" w:rsidRDefault="009C2331" w:rsidP="00026E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844" w:rsidRPr="007D5844" w:rsidTr="00D5245A">
        <w:tblPrEx>
          <w:shd w:val="clear" w:color="auto" w:fill="FFFFFF"/>
        </w:tblPrEx>
        <w:trPr>
          <w:trHeight w:val="4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331" w:rsidRPr="007D5844" w:rsidRDefault="009C2331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331" w:rsidRPr="007D5844" w:rsidRDefault="009C2331" w:rsidP="0056716D">
            <w:pPr>
              <w:spacing w:after="0" w:line="240" w:lineRule="auto"/>
              <w:ind w:right="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331" w:rsidRPr="007D5844" w:rsidRDefault="009C2331" w:rsidP="00A96076">
            <w:pPr>
              <w:spacing w:after="0" w:line="240" w:lineRule="auto"/>
              <w:ind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- operacja </w:t>
            </w:r>
            <w:r w:rsidR="00C40CA4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jest innowacyjna na skalę miejscowości miejsca realizacji operacji bądź nie wskazano innowacyjności operacji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331" w:rsidRPr="007D5844" w:rsidRDefault="009C2331" w:rsidP="0056716D">
            <w:pPr>
              <w:spacing w:after="0" w:line="240" w:lineRule="auto"/>
              <w:ind w:right="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  <w:tc>
          <w:tcPr>
            <w:tcW w:w="7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31" w:rsidRPr="007D5844" w:rsidRDefault="009C2331" w:rsidP="00026E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844" w:rsidRPr="007D5844" w:rsidTr="00D5245A">
        <w:trPr>
          <w:trHeight w:val="8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CD6" w:rsidRPr="007D5844" w:rsidRDefault="007C7CD6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D6" w:rsidRPr="007D5844" w:rsidRDefault="007C7CD6" w:rsidP="0056716D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Grupy defaworyzowane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6" w:rsidRPr="007D5844" w:rsidRDefault="007C7CD6" w:rsidP="00A9607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Wnioskodawca zatrudni osoby z grupy defaworyzowanej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81" w:rsidRPr="007D5844" w:rsidRDefault="00C40CA4" w:rsidP="002C2D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Preferuje się operacje oddziałujące na grupy defaworyzowane zidentyfikowane w LSR</w:t>
            </w:r>
            <w:r w:rsidR="007E2281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poprzez ich zatrudnienie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7C7CD6" w:rsidRPr="007D5844">
              <w:rPr>
                <w:rFonts w:asciiTheme="minorHAnsi" w:hAnsiTheme="minorHAnsi" w:cstheme="minorHAnsi"/>
                <w:sz w:val="20"/>
                <w:szCs w:val="20"/>
              </w:rPr>
              <w:t>Na  obszarze LGD występują grupy defaworyzowane tj. wykluczone lub będące w trudnej sytuacji lub położeniu na rynku pracy</w:t>
            </w:r>
            <w:r w:rsidR="007E2281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- osoby młode między 18 a 25 rokiem życia – grupa +25, które nie kontynuują edukacji na poziomie wyższym lub osoby w wieku 50+:</w:t>
            </w:r>
          </w:p>
          <w:p w:rsidR="007C7CD6" w:rsidRPr="007D5844" w:rsidRDefault="007C7CD6" w:rsidP="002C2D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Wn</w:t>
            </w:r>
            <w:r w:rsidR="000B4197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ioskodawca składa oświadczenie 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7E2281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zamiarze 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zatrudnieni</w:t>
            </w:r>
            <w:r w:rsidR="003370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osoby </w:t>
            </w:r>
            <w:r w:rsidR="007E2281" w:rsidRPr="007D5844">
              <w:rPr>
                <w:rFonts w:asciiTheme="minorHAnsi" w:hAnsiTheme="minorHAnsi" w:cstheme="minorHAnsi"/>
                <w:sz w:val="20"/>
                <w:szCs w:val="20"/>
              </w:rPr>
              <w:t>zaliczonej co najmniej do jednej ze wskazanych dwóch grup defaworyzowanych</w:t>
            </w:r>
            <w:r w:rsidR="003370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na podsta</w:t>
            </w:r>
            <w:r w:rsidR="00A96076" w:rsidRPr="007D5844">
              <w:rPr>
                <w:rFonts w:asciiTheme="minorHAnsi" w:hAnsiTheme="minorHAnsi" w:cstheme="minorHAnsi"/>
                <w:sz w:val="20"/>
                <w:szCs w:val="20"/>
              </w:rPr>
              <w:t>wie umowy o pracę na pełny etat.</w:t>
            </w:r>
          </w:p>
          <w:p w:rsidR="007C7CD6" w:rsidRPr="007D5844" w:rsidRDefault="007C7CD6" w:rsidP="002C2D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Oświadczenie powinno zostać złożone pod rygorem odpowiedzialności prawnej „Oświadczam, że informacje zawarte w powyższym oświadczeniu są prawdziwe i zgodne ze stanem prawnym i faktycznym; znane mi są skutki składania fałszywych oświadczeń wynikające z art.  297 ustawy z dnia 6 czerwca 1997 r. Kodeks karny (Dz.U. z 2016 r, poz. 1137 z późn. zm.)”</w:t>
            </w:r>
            <w:r w:rsidR="00484954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7D5844">
              <w:rPr>
                <w:rFonts w:asciiTheme="minorHAnsi" w:hAnsiTheme="minorHAnsi" w:cstheme="minorHAnsi"/>
                <w:i/>
                <w:sz w:val="20"/>
                <w:szCs w:val="20"/>
              </w:rPr>
              <w:t>Maksymalna liczba punktów 5 pkt. Punkty w ramach kryterium nie sumują się</w:t>
            </w:r>
          </w:p>
        </w:tc>
      </w:tr>
      <w:tr w:rsidR="007D5844" w:rsidRPr="007D5844" w:rsidTr="00484954">
        <w:trPr>
          <w:trHeight w:val="9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CD6" w:rsidRPr="007D5844" w:rsidRDefault="007C7CD6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CD6" w:rsidRPr="007D5844" w:rsidRDefault="007C7CD6" w:rsidP="0056716D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54" w:rsidRPr="007D5844" w:rsidRDefault="00484954" w:rsidP="00C56D32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7CD6" w:rsidRPr="007D5844" w:rsidRDefault="007C7CD6" w:rsidP="00C56D32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– 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54" w:rsidRPr="007D5844" w:rsidRDefault="00484954" w:rsidP="007C7CD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7CD6" w:rsidRPr="007D5844" w:rsidRDefault="007C7CD6" w:rsidP="007C7CD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5 pkt.</w:t>
            </w:r>
          </w:p>
          <w:p w:rsidR="007C7CD6" w:rsidRPr="007D5844" w:rsidRDefault="007C7CD6" w:rsidP="007C7CD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7CD6" w:rsidRPr="007D5844" w:rsidRDefault="007C7CD6" w:rsidP="007C7CD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7CD6" w:rsidRPr="007D5844" w:rsidRDefault="007C7CD6" w:rsidP="007C7CD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CD6" w:rsidRPr="007D5844" w:rsidRDefault="007C7CD6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844" w:rsidRPr="007D5844" w:rsidTr="00484954">
        <w:trPr>
          <w:trHeight w:val="8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D6" w:rsidRPr="007D5844" w:rsidRDefault="007C7CD6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D6" w:rsidRPr="007D5844" w:rsidRDefault="007C7CD6" w:rsidP="0056716D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54" w:rsidRPr="007D5844" w:rsidRDefault="00484954" w:rsidP="007C7CD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7CD6" w:rsidRPr="007D5844" w:rsidRDefault="007C7CD6" w:rsidP="007C7CD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–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54" w:rsidRPr="007D5844" w:rsidRDefault="00484954" w:rsidP="007C7CD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7CD6" w:rsidRPr="007D5844" w:rsidRDefault="007C7CD6" w:rsidP="007C7CD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0 pkt.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D6" w:rsidRPr="007D5844" w:rsidRDefault="007C7CD6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844" w:rsidRPr="007D5844" w:rsidTr="00484954">
        <w:trPr>
          <w:trHeight w:val="7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EF" w:rsidRPr="007D5844" w:rsidRDefault="006364EF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4EF" w:rsidRPr="007D5844" w:rsidRDefault="006364EF" w:rsidP="0056716D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Ochrona środowiska lub przeciwdziałanie zmian klimatu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EF" w:rsidRPr="007D5844" w:rsidRDefault="006364EF" w:rsidP="0056716D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Operacja przewiduje zastosowanie rozwiązań sprzyjających ochronie środowiska lub przeciwdziałanie zmian klimatu: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4EF" w:rsidRPr="007D5844" w:rsidRDefault="006364EF" w:rsidP="00293A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Jeżeli operacja przewiduje rozwiązania, które sprzyjają ochronie środowiska lub przeciwdziałaniu zmianom klimatu np .poprzez:</w:t>
            </w:r>
          </w:p>
          <w:p w:rsidR="006364EF" w:rsidRPr="007D5844" w:rsidRDefault="006364EF" w:rsidP="00293A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- zastosowanie w budownictwie materiałów termoizolacyjnych</w:t>
            </w:r>
          </w:p>
          <w:p w:rsidR="006364EF" w:rsidRPr="007D5844" w:rsidRDefault="006364EF" w:rsidP="00293A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- zakup energooszczędnych maszyn urządzeń, narzędzi sprzętów</w:t>
            </w:r>
          </w:p>
          <w:p w:rsidR="006364EF" w:rsidRPr="007D5844" w:rsidRDefault="006364EF" w:rsidP="00293A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- zastosowanie nowoczesnych technologii odzyskiwania ciepła</w:t>
            </w:r>
          </w:p>
          <w:p w:rsidR="006364EF" w:rsidRPr="007D5844" w:rsidRDefault="006364EF" w:rsidP="00293A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- zastosowanie ekologicznych rozwiązań gospodarki odpadami</w:t>
            </w:r>
          </w:p>
          <w:p w:rsidR="006364EF" w:rsidRPr="007D5844" w:rsidRDefault="006364EF" w:rsidP="00293A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- zastosowanie ekologicznych materiałów</w:t>
            </w:r>
          </w:p>
          <w:p w:rsidR="006364EF" w:rsidRPr="007D5844" w:rsidRDefault="006364EF" w:rsidP="00293A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- wykorzystanie usług nie oddziałujących negatywnie na środowisko</w:t>
            </w:r>
          </w:p>
          <w:p w:rsidR="006364EF" w:rsidRPr="007D5844" w:rsidRDefault="006364EF" w:rsidP="00293A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promowanie walorów środowiska naturalnego</w:t>
            </w:r>
          </w:p>
          <w:p w:rsidR="006364EF" w:rsidRPr="007D5844" w:rsidRDefault="006364EF" w:rsidP="00293A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- podnoszenie świadomości ekologicznej</w:t>
            </w:r>
          </w:p>
          <w:p w:rsidR="006364EF" w:rsidRPr="007D5844" w:rsidRDefault="006364EF" w:rsidP="00293A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- promowanie postaw prośrodowiskowych i proklimatycznych przeciwdziałanie pogorszeniu stanu środowiska natural</w:t>
            </w:r>
            <w:r w:rsidR="00C56D32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nego 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i zmianom klimatycznym</w:t>
            </w:r>
          </w:p>
          <w:p w:rsidR="006364EF" w:rsidRPr="007D5844" w:rsidRDefault="006364EF" w:rsidP="00293A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- inwestycje na obszarach Natura 2000 związane z ekoturystyką tworzenie zielonych miejsc pracy.</w:t>
            </w:r>
          </w:p>
          <w:p w:rsidR="006364EF" w:rsidRPr="007D5844" w:rsidRDefault="007E2281" w:rsidP="00293A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Wnioskodawca powinien </w:t>
            </w:r>
            <w:r w:rsidR="006364EF" w:rsidRPr="007D5844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ać zakres planowanych rozwiązań w ramach operacji objętej wnioskiem o dofinansowanie. </w:t>
            </w:r>
            <w:r w:rsidR="006364EF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Operacje mające neutralny lub negatywny wpływ na ochronę środowiska lub przeciwdziałanie zmianom klimatu nie będą preferowane. </w:t>
            </w:r>
          </w:p>
          <w:p w:rsidR="006364EF" w:rsidRPr="007D5844" w:rsidRDefault="00D5245A" w:rsidP="00B520C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Maksymalna liczba punktów </w:t>
            </w:r>
            <w:r w:rsidR="00B520CB" w:rsidRPr="007D58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5 </w:t>
            </w:r>
            <w:r w:rsidR="006364EF" w:rsidRPr="007D58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pkt. Punkty w ramach kryterium nie sumują się.</w:t>
            </w:r>
          </w:p>
        </w:tc>
      </w:tr>
      <w:tr w:rsidR="007D5844" w:rsidRPr="007D5844" w:rsidTr="00484954">
        <w:trPr>
          <w:trHeight w:val="1249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64EF" w:rsidRPr="007D5844" w:rsidRDefault="006364EF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right w:val="single" w:sz="4" w:space="0" w:color="auto"/>
            </w:tcBorders>
          </w:tcPr>
          <w:p w:rsidR="006364EF" w:rsidRPr="007D5844" w:rsidRDefault="006364EF" w:rsidP="0056716D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54" w:rsidRPr="007D5844" w:rsidRDefault="00484954" w:rsidP="007C7CD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4954" w:rsidRPr="007D5844" w:rsidRDefault="00484954" w:rsidP="007C7CD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4954" w:rsidRPr="007D5844" w:rsidRDefault="00484954" w:rsidP="007C7CD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4954" w:rsidRPr="007D5844" w:rsidRDefault="00484954" w:rsidP="007C7CD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4954" w:rsidRPr="007D5844" w:rsidRDefault="00484954" w:rsidP="007C7CD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64EF" w:rsidRPr="007D5844" w:rsidRDefault="006364EF" w:rsidP="007C7CD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– TAK</w:t>
            </w:r>
          </w:p>
          <w:p w:rsidR="006364EF" w:rsidRPr="007D5844" w:rsidRDefault="006364EF" w:rsidP="00B520CB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54" w:rsidRPr="007D5844" w:rsidRDefault="00484954" w:rsidP="007D53C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4954" w:rsidRPr="007D5844" w:rsidRDefault="00484954" w:rsidP="007D53C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4954" w:rsidRPr="007D5844" w:rsidRDefault="00484954" w:rsidP="007D53C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4954" w:rsidRPr="007D5844" w:rsidRDefault="00484954" w:rsidP="007D53C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4954" w:rsidRPr="007D5844" w:rsidRDefault="00484954" w:rsidP="007D53C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64EF" w:rsidRPr="007D5844" w:rsidRDefault="00B520CB" w:rsidP="007D53C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6364EF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EF" w:rsidRPr="007D5844" w:rsidRDefault="006364EF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844" w:rsidRPr="007D5844" w:rsidTr="00484954">
        <w:trPr>
          <w:trHeight w:val="44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4EF" w:rsidRPr="007D5844" w:rsidRDefault="006364EF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64EF" w:rsidRPr="007D5844" w:rsidRDefault="006364EF" w:rsidP="0056716D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54" w:rsidRPr="007D5844" w:rsidRDefault="00484954" w:rsidP="007C7CD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4954" w:rsidRPr="007D5844" w:rsidRDefault="00484954" w:rsidP="007C7CD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64EF" w:rsidRPr="007D5844" w:rsidRDefault="006364EF" w:rsidP="007C7CD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– NIE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54" w:rsidRPr="007D5844" w:rsidRDefault="00484954" w:rsidP="007C7CD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64EF" w:rsidRPr="007D5844" w:rsidRDefault="006364EF" w:rsidP="007C7CD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0 pkt.</w:t>
            </w:r>
          </w:p>
          <w:p w:rsidR="006364EF" w:rsidRPr="007D5844" w:rsidRDefault="006364EF" w:rsidP="007C7CD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F" w:rsidRPr="007D5844" w:rsidRDefault="006364EF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844" w:rsidRPr="007D5844" w:rsidTr="00594F9E">
        <w:tblPrEx>
          <w:shd w:val="clear" w:color="auto" w:fill="FFFFFF"/>
        </w:tblPrEx>
        <w:trPr>
          <w:trHeight w:val="12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D32" w:rsidRPr="007D5844" w:rsidRDefault="00C56D32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D32" w:rsidRPr="007D5844" w:rsidRDefault="00C56D32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Operacja ukierunkowana na Odnawialne Źródła Energii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6D32" w:rsidRPr="007D5844" w:rsidRDefault="00C56D32" w:rsidP="00D235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- Operacja przewiduje zastosowanie rozwiązań polegających na wykorzystaniu </w:t>
            </w:r>
            <w:r w:rsidR="00D2353E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przetwarzaniu energii odnawialnej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54" w:rsidRPr="007D5844" w:rsidRDefault="00484954" w:rsidP="007C7C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4954" w:rsidRPr="007D5844" w:rsidRDefault="00484954" w:rsidP="007C7C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6D32" w:rsidRPr="007D5844" w:rsidRDefault="00B520CB" w:rsidP="007C7C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56D32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</w:p>
          <w:p w:rsidR="00C56D32" w:rsidRPr="007D5844" w:rsidRDefault="00C56D32" w:rsidP="007D53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6D32" w:rsidRPr="007D5844" w:rsidRDefault="00C56D32" w:rsidP="007C7C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D32" w:rsidRPr="007D5844" w:rsidRDefault="00C56D32" w:rsidP="00033F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Odnawialne źródła energii (OZE)</w:t>
            </w:r>
            <w:r w:rsidR="00D2353E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definiowane są jako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źródła energii, których wykorzystywanie nie wiąże się z długotrwałym ich deficytem, ponieważ ich zasób odnawia się w krótkim czasie. Takimi źródłami są między innymi wiatr, promieniowanie słoneczne, opady, pływy morskie, fale morskie i geotermia. Jeżeli operacja przewiduje rozwiązania, które wykorzystują OZE.  </w:t>
            </w:r>
            <w:r w:rsidR="00D2353E" w:rsidRPr="007D5844">
              <w:rPr>
                <w:rFonts w:asciiTheme="minorHAnsi" w:hAnsiTheme="minorHAnsi" w:cstheme="minorHAnsi"/>
                <w:sz w:val="20"/>
                <w:szCs w:val="20"/>
              </w:rPr>
              <w:t>Wnioskodawca powinien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opis</w:t>
            </w:r>
            <w:r w:rsidR="00D2353E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ać zakres </w:t>
            </w:r>
            <w:r w:rsidR="00982ABC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uwzględnienia w ramach operacji objętej dofinansowaniem w zakresie ukierunkowania na OZE. Wnioskodawca powinien wskazać w szczególności 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jakie to będą rozwiązania wraz ze wskazaniem związku przyczynowo skutkowego między zidentyfikowanymi problemami, deficytami lub potrzebami a proponowanymi rozwiązaniami wskazującymi na zastosowanie rozwiązań  polegających na wykorzystaniu i przetwarzaniu energii odnawialnej.</w:t>
            </w:r>
          </w:p>
          <w:p w:rsidR="00C56D32" w:rsidRPr="007D5844" w:rsidRDefault="00D5245A" w:rsidP="00033F3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Maksymalna liczba punktów </w:t>
            </w:r>
            <w:r w:rsidR="00B520CB" w:rsidRPr="007D5844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  <w:r w:rsidRPr="007D58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C56D32" w:rsidRPr="007D58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pkt. Punkty w ramach kryterium nie sumują się.</w:t>
            </w:r>
          </w:p>
        </w:tc>
      </w:tr>
      <w:tr w:rsidR="007D5844" w:rsidRPr="007D5844" w:rsidTr="00594F9E">
        <w:tblPrEx>
          <w:shd w:val="clear" w:color="auto" w:fill="FFFFFF"/>
        </w:tblPrEx>
        <w:trPr>
          <w:trHeight w:val="1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D32" w:rsidRPr="007D5844" w:rsidRDefault="00C56D32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D32" w:rsidRPr="007D5844" w:rsidRDefault="00C56D32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D32" w:rsidRPr="007D5844" w:rsidRDefault="00C56D32" w:rsidP="00033F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- operacja nie przewiduje zastosowanie rozwiązań polegających na wykorzystaniu </w:t>
            </w:r>
            <w:r w:rsidR="00D2353E" w:rsidRPr="007D5844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="00A96076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przetwarzaniu energii odnawialnej</w:t>
            </w:r>
            <w:r w:rsidR="00594F9E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54" w:rsidRPr="007D5844" w:rsidRDefault="00484954" w:rsidP="007C7C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4954" w:rsidRPr="007D5844" w:rsidRDefault="00484954" w:rsidP="007C7C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6D32" w:rsidRPr="007D5844" w:rsidRDefault="007D53C6" w:rsidP="007C7C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D32" w:rsidRPr="007D5844" w:rsidRDefault="00C56D32" w:rsidP="00033F3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5844" w:rsidRPr="007D5844" w:rsidTr="00FF7CF9">
        <w:trPr>
          <w:trHeight w:val="20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9A" w:rsidRPr="007D5844" w:rsidRDefault="008A369A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69A" w:rsidRPr="007D5844" w:rsidRDefault="008A369A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Promocja LGD i LSR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9A" w:rsidRPr="007D5844" w:rsidRDefault="008A369A" w:rsidP="00A960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– operacja promuje LGD lub LSR z wykorzystaniem logo  Stowarzyszenia „Lider Pojezierza”, UE, PROW w  formie innej niż jest to wymagane zgodnie z Księgą Wizualizacji PROW na lata 2014-2020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9A" w:rsidRPr="007D5844" w:rsidRDefault="008A369A" w:rsidP="00102E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69A" w:rsidRPr="007D5844" w:rsidRDefault="008A369A" w:rsidP="00102E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69A" w:rsidRPr="007D5844" w:rsidRDefault="008A369A" w:rsidP="00102E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69A" w:rsidRPr="007D5844" w:rsidRDefault="008A369A" w:rsidP="00102E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69A" w:rsidRPr="007D5844" w:rsidRDefault="008A369A" w:rsidP="00102E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8 pkt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9A" w:rsidRPr="007D5844" w:rsidRDefault="008A369A" w:rsidP="00A960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Preferowane są operacje promujące LGD lub LSR  z wykorzystaniem logo LGD, UE, PROW w zakresie szerszym niż to zostało przewidziane w Księdze Wizualizacji PROW na lata 2014-2020 dla operacji o określonej wartości dotacji. Przykładowo dla większości operacji wymogiem minimalnym jest opracowanie plakatu informacyjnego zawierającego logotypy i informacji na stronie internetowej beneficjenta jeżeli taką posiada. Preferowane będą dodatkowe formy promocji np. folder, audycja, wystawa lub inne materiały promocyjne. Taka promocja przyczyni się do rozpoznawalności obszaru LSR i samego Stowarzyszenia ”Lider Pojezierza”, służy informacji, że operacja 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została zrealizowana dzięki dotacji unijnej. Oświadczenie powinno zostać złożone pod rygorem odpowiedzialności prawnej „Oświadczam, że informacje zawarte w powyższym oświadczeniu są prawdziwe i zgodne ze stanem prawnym i faktycznym; znane mi są skutki składania fałszywych oświadczeń wynikające z art.  297 ustawy z dnia 6 czerwca 1997 r. Kodeks karny (Dz.U. z 2016 r, poz.1137 z późn. zm.)”.  Maksymalna liczba punktów 8 pkt. Punkty w ramach kryterium nie sumują się.</w:t>
            </w:r>
          </w:p>
        </w:tc>
      </w:tr>
      <w:tr w:rsidR="007D5844" w:rsidRPr="007D5844" w:rsidTr="008A369A">
        <w:trPr>
          <w:trHeight w:val="171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69A" w:rsidRPr="007D5844" w:rsidRDefault="008A369A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69A" w:rsidRPr="007D5844" w:rsidRDefault="008A369A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69A" w:rsidRPr="007D5844" w:rsidRDefault="008A369A" w:rsidP="00A960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– operacja promuje LGD lub LSR z wykorzystaniem logo Stowarzyszenia „Lider Pojezierza”, UE, PROW jedynie  w  formie wynikającej z Księgą Wizualizacji PROW na lata 2014-2020.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69A" w:rsidRPr="007D5844" w:rsidRDefault="008A369A" w:rsidP="00102E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69A" w:rsidRPr="007D5844" w:rsidRDefault="008A369A" w:rsidP="00102E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69A" w:rsidRPr="007D5844" w:rsidRDefault="008A369A" w:rsidP="00102E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69A" w:rsidRPr="007D5844" w:rsidRDefault="008A369A" w:rsidP="008A36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0 pkt.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69A" w:rsidRPr="007D5844" w:rsidRDefault="008A369A" w:rsidP="00102E5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5844" w:rsidRPr="007D5844" w:rsidTr="006A1D94">
        <w:trPr>
          <w:trHeight w:val="7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9A" w:rsidRPr="007D5844" w:rsidRDefault="008A369A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69A" w:rsidRPr="007D5844" w:rsidRDefault="008A369A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Wiedza o Programie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9A" w:rsidRPr="007D5844" w:rsidRDefault="008A369A" w:rsidP="008A36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Wnioskodawca uczestniczył w szkoleniach organizowanych przez LGD i pozytywnie zaliczył test  </w:t>
            </w:r>
            <w:r w:rsidRPr="00C773F1">
              <w:rPr>
                <w:rFonts w:asciiTheme="minorHAnsi" w:hAnsiTheme="minorHAnsi" w:cstheme="minorHAnsi"/>
                <w:sz w:val="20"/>
                <w:szCs w:val="20"/>
              </w:rPr>
              <w:t>po zakończeniu szkolenia:</w:t>
            </w:r>
          </w:p>
        </w:tc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69A" w:rsidRPr="007D5844" w:rsidRDefault="008A369A" w:rsidP="001973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W celu dobrze przygotowanej dokumentacji konkursowej nieodzownym warunkiem jest uczestnictwo w szkoleniach organizowanych przez LGD dot. poddziałania ”Wsparcie na wdrażanie operacji w ramach strategii rozwoju lokalnego kierowanego przez społeczność” w danym zakresie tematycznym, wnioskodawca brał udział w pracach lub szkoleniach (szkoleniu) organizowanych (organizowanym) przez LGD i oprócz uczestnictwa uzyskał pozytywną ocenę z przeprowadzonego testu po zakończeniu szkoleń (szkolenia).</w:t>
            </w:r>
          </w:p>
          <w:p w:rsidR="008A369A" w:rsidRPr="007D5844" w:rsidRDefault="008A369A" w:rsidP="001973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Maksymalna liczba punktów 10 pkt. Punkty w ramach kryterium nie sumują się.</w:t>
            </w:r>
          </w:p>
        </w:tc>
      </w:tr>
      <w:tr w:rsidR="007D5844" w:rsidRPr="007D5844" w:rsidTr="006A1D94">
        <w:trPr>
          <w:trHeight w:val="4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9A" w:rsidRPr="007D5844" w:rsidRDefault="008A369A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69A" w:rsidRPr="007D5844" w:rsidRDefault="008A369A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9A" w:rsidRPr="007D5844" w:rsidRDefault="008A369A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– TAK </w:t>
            </w:r>
          </w:p>
          <w:p w:rsidR="008A369A" w:rsidRPr="007D5844" w:rsidRDefault="008A369A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9A" w:rsidRPr="007D5844" w:rsidRDefault="008A369A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– 10 pkt.</w:t>
            </w:r>
          </w:p>
          <w:p w:rsidR="008A369A" w:rsidRPr="007D5844" w:rsidRDefault="008A369A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69A" w:rsidRPr="007D5844" w:rsidRDefault="008A369A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844" w:rsidRPr="007D5844" w:rsidTr="006A1D94">
        <w:trPr>
          <w:trHeight w:val="40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9A" w:rsidRPr="007D5844" w:rsidRDefault="008A369A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9A" w:rsidRPr="007D5844" w:rsidRDefault="008A369A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9A" w:rsidRPr="007D5844" w:rsidRDefault="008A369A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– NIE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9A" w:rsidRPr="007D5844" w:rsidRDefault="008A369A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– 0 pkt.</w:t>
            </w:r>
          </w:p>
        </w:tc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9A" w:rsidRPr="007D5844" w:rsidRDefault="008A369A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844" w:rsidRPr="007D5844" w:rsidTr="00D5245A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C6" w:rsidRPr="007D5844" w:rsidRDefault="007D53C6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6" w:rsidRPr="007D5844" w:rsidRDefault="007D53C6" w:rsidP="00305E9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Wysokość </w:t>
            </w:r>
            <w:r w:rsidR="00305E93"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wkładu własnego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C6" w:rsidRPr="007D5844" w:rsidRDefault="00305E93" w:rsidP="00594F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Wkład własny wnioskodawcy wynosi</w:t>
            </w:r>
            <w:r w:rsidR="007D53C6" w:rsidRPr="007D584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E93" w:rsidRPr="007D5844" w:rsidRDefault="007D53C6" w:rsidP="0056716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Preferuje się operacje o </w:t>
            </w:r>
            <w:r w:rsidR="00305E93" w:rsidRPr="007D5844">
              <w:rPr>
                <w:rFonts w:asciiTheme="minorHAnsi" w:hAnsiTheme="minorHAnsi" w:cstheme="minorHAnsi"/>
                <w:sz w:val="20"/>
                <w:szCs w:val="20"/>
              </w:rPr>
              <w:t>wyższym wkładzie własnym</w:t>
            </w:r>
            <w:r w:rsidR="00C773F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05E93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05E93" w:rsidRPr="007D5844" w:rsidRDefault="00305E93" w:rsidP="0056716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4F9E" w:rsidRPr="007D5844" w:rsidRDefault="00594F9E" w:rsidP="00B520C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Maksymalna liczba punktów </w:t>
            </w:r>
            <w:r w:rsidR="00B520CB" w:rsidRPr="007D584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pkt. Punkty w ramach kryterium nie sumują się.</w:t>
            </w:r>
          </w:p>
        </w:tc>
      </w:tr>
      <w:tr w:rsidR="007D5844" w:rsidRPr="007D5844" w:rsidTr="00D5245A">
        <w:trPr>
          <w:trHeight w:val="4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C6" w:rsidRPr="007D5844" w:rsidRDefault="007D53C6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C6" w:rsidRPr="007D5844" w:rsidRDefault="007D53C6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3C6" w:rsidRPr="007D5844" w:rsidRDefault="007D53C6" w:rsidP="000E66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71CEB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powyżej </w:t>
            </w:r>
            <w:r w:rsidR="00305E93" w:rsidRPr="007D584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0E66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71CEB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5E93" w:rsidRPr="007D5844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C6" w:rsidRPr="007D5844" w:rsidRDefault="00B520CB" w:rsidP="004849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7D53C6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:rsidR="007D53C6" w:rsidRPr="007D5844" w:rsidRDefault="007D53C6" w:rsidP="004849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C6" w:rsidRPr="007D5844" w:rsidRDefault="007D53C6" w:rsidP="007D53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844" w:rsidRPr="007D5844" w:rsidTr="00D5245A">
        <w:trPr>
          <w:trHeight w:val="4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C6" w:rsidRPr="007D5844" w:rsidRDefault="007D53C6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C6" w:rsidRPr="007D5844" w:rsidRDefault="007D53C6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3C6" w:rsidRPr="007D5844" w:rsidRDefault="007D53C6" w:rsidP="00305E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66B4">
              <w:rPr>
                <w:rFonts w:asciiTheme="minorHAnsi" w:hAnsiTheme="minorHAnsi" w:cstheme="minorHAnsi"/>
                <w:sz w:val="20"/>
                <w:szCs w:val="20"/>
              </w:rPr>
              <w:t>powyżej 40</w:t>
            </w:r>
            <w:r w:rsidR="00B71CEB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% do </w:t>
            </w:r>
            <w:r w:rsidR="00305E93" w:rsidRPr="007D584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0E66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71CEB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5E93" w:rsidRPr="007D5844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C6" w:rsidRPr="007D5844" w:rsidRDefault="00B520CB" w:rsidP="004849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D53C6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:rsidR="007D53C6" w:rsidRPr="007D5844" w:rsidRDefault="007D53C6" w:rsidP="004849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C6" w:rsidRPr="007D5844" w:rsidRDefault="007D53C6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5844" w:rsidRPr="007D5844" w:rsidTr="00594F9E">
        <w:trPr>
          <w:trHeight w:val="4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C6" w:rsidRPr="007D5844" w:rsidRDefault="007D53C6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6" w:rsidRPr="007D5844" w:rsidRDefault="007D53C6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3C6" w:rsidRPr="007D5844" w:rsidRDefault="007D53C6" w:rsidP="00305E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66B4">
              <w:rPr>
                <w:rFonts w:asciiTheme="minorHAnsi" w:hAnsiTheme="minorHAnsi" w:cstheme="minorHAnsi"/>
                <w:sz w:val="20"/>
                <w:szCs w:val="20"/>
              </w:rPr>
              <w:t>35% do 40</w:t>
            </w:r>
            <w:r w:rsidR="00305E93" w:rsidRPr="007D5844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C6" w:rsidRPr="007D5844" w:rsidRDefault="007D53C6" w:rsidP="004849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0 pkt.</w:t>
            </w:r>
          </w:p>
        </w:tc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C6" w:rsidRPr="007D5844" w:rsidRDefault="007D53C6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5844" w:rsidRPr="007D5844" w:rsidTr="00594F9E">
        <w:trPr>
          <w:trHeight w:val="89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AF" w:rsidRPr="007D5844" w:rsidRDefault="001973AF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3AF" w:rsidRPr="007D5844" w:rsidRDefault="001973AF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Rozwijanie działalności gospodarczej w zakresie turystyki</w:t>
            </w:r>
            <w:r w:rsidR="006551CA"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tym </w:t>
            </w:r>
            <w:r w:rsidR="00620904"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tworzenia miejsc noclegowych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3AF" w:rsidRPr="007D5844" w:rsidRDefault="001973AF" w:rsidP="001973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- Przedmiotem rozwijania działalności gospodarczej są usługi w zakresie turystyki.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AF" w:rsidRPr="007D5844" w:rsidRDefault="00594F9E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20904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AF" w:rsidRPr="007D5844" w:rsidRDefault="001973AF" w:rsidP="001973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Punkty za realizację otrzyma operacja, w ramach której prowadzona działalność polega</w:t>
            </w:r>
            <w:r w:rsidR="00620904" w:rsidRPr="007D5844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lub będzie polegać na realizacji usług turystycznych i/lub w ramach której zwiększy się liczba miejsc noclegowych dostępnych na obszarze objętym LSR.</w:t>
            </w:r>
          </w:p>
          <w:p w:rsidR="001973AF" w:rsidRPr="007D5844" w:rsidRDefault="001973AF" w:rsidP="001973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W tym kryterium odpowiada się na element diagnozy wskazujący na niski poziom zaspokojenia potrzeb społeczności lokalnej w zakresie turystyki i rekreacji wskazujący na konieczność wpływania na rozwój usług turystycznych i tworzenia miejsc noclegowych. </w:t>
            </w:r>
          </w:p>
          <w:p w:rsidR="001973AF" w:rsidRPr="007D5844" w:rsidRDefault="001973AF" w:rsidP="001973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Weryfikacja kryterium nastąpi w oparciu o informacje zawarte we Wniosku o Przyznanie Pomocy 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(część B.III. OPIS PLANOWANEJ OPERACJI, pole 1.4 Uzasadnienie zgodności z celami LSR i kryteriami wyboru operacji przez LGD), oraz będzie miało odzwierciedlenie w Biznesplanie w usługach lub produktach lub towarach oferowanych przez firmę w wyniku realizacji operacji (BIZNESPLAN sekcja III pole 3.2).  </w:t>
            </w:r>
          </w:p>
          <w:p w:rsidR="001973AF" w:rsidRPr="007D5844" w:rsidRDefault="00165114" w:rsidP="0056716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i/>
                <w:sz w:val="20"/>
                <w:szCs w:val="20"/>
              </w:rPr>
              <w:t>Maksymalna liczba punktów</w:t>
            </w:r>
            <w:r w:rsidR="00594F9E" w:rsidRPr="007D5844">
              <w:rPr>
                <w:rFonts w:asciiTheme="minorHAnsi" w:hAnsiTheme="minorHAnsi" w:cstheme="minorHAnsi"/>
                <w:i/>
                <w:sz w:val="20"/>
                <w:szCs w:val="20"/>
              </w:rPr>
              <w:t>10</w:t>
            </w:r>
            <w:r w:rsidR="001973AF" w:rsidRPr="007D58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pkt. Punkty w ramach kryterium sumują się.</w:t>
            </w:r>
          </w:p>
        </w:tc>
      </w:tr>
      <w:tr w:rsidR="007D5844" w:rsidRPr="007D5844" w:rsidTr="00594F9E">
        <w:trPr>
          <w:trHeight w:val="88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AF" w:rsidRPr="007D5844" w:rsidRDefault="001973AF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3AF" w:rsidRPr="007D5844" w:rsidRDefault="001973AF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3AF" w:rsidRPr="007D5844" w:rsidRDefault="00620904" w:rsidP="006209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Operacja przewiduje utworzenie miejsc noclegowych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AF" w:rsidRPr="007D5844" w:rsidRDefault="00594F9E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20904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850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AF" w:rsidRPr="007D5844" w:rsidRDefault="001973AF" w:rsidP="001973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844" w:rsidRPr="007D5844" w:rsidTr="00102E52">
        <w:trPr>
          <w:trHeight w:val="12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AF" w:rsidRPr="007D5844" w:rsidRDefault="001973AF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F" w:rsidRPr="007D5844" w:rsidRDefault="001973AF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3AF" w:rsidRPr="007D5844" w:rsidRDefault="00620904" w:rsidP="001973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- Operacja nie przewiduje podejmowania działalności gospodarczej której przedmiotem są usługi turystyczne ani nie zakłada utworzenie miejsc noclegowych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AF" w:rsidRPr="007D5844" w:rsidRDefault="00620904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AF" w:rsidRPr="007D5844" w:rsidRDefault="001973AF" w:rsidP="001973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844" w:rsidRPr="007D5844" w:rsidTr="00484954">
        <w:trPr>
          <w:trHeight w:val="12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97" w:rsidRPr="007D5844" w:rsidRDefault="000B4197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97" w:rsidRPr="007D5844" w:rsidRDefault="000B4197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Termin zakończenia operacji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7" w:rsidRPr="007D5844" w:rsidRDefault="000B4197" w:rsidP="006209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Wnioskodawca planuje złożenie wniosku o płatność licząc od dnia zawarcia umowy o przyznanie pomocy w terminie:</w:t>
            </w:r>
          </w:p>
          <w:p w:rsidR="000B4197" w:rsidRPr="007D5844" w:rsidRDefault="000B4197" w:rsidP="006209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4197" w:rsidRPr="007D5844" w:rsidRDefault="000B4197" w:rsidP="006209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7" w:rsidRPr="007D5844" w:rsidRDefault="000B4197" w:rsidP="006209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Preferuje się operacje o najkrótszym planowanym czasie realizacji (liczonym od podpisania umowy do złożenia wniosku o płatność ostateczną). Na potrzeby oceny kryterium pojęci</w:t>
            </w:r>
            <w:r w:rsidR="00484954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e miesiąc liczy się za 30 dni.  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Weryfikacja nastąpi w oparciu o informacje zawarte we wniosku o przyznanie pomocy (część B.III. OPIS PLANOWANEJ OPERACJI, pole 1.4 Uzasadnienie zgodności z celami LSR i kryteriami wyboru operacji przez LGD) oraz o dokument dostarczony przez wnioskodawcę: </w:t>
            </w:r>
          </w:p>
          <w:p w:rsidR="000B4197" w:rsidRPr="007D5844" w:rsidRDefault="00484954" w:rsidP="00B520C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- o</w:t>
            </w:r>
            <w:r w:rsidR="000B4197" w:rsidRPr="007D5844">
              <w:rPr>
                <w:rFonts w:asciiTheme="minorHAnsi" w:hAnsiTheme="minorHAnsi" w:cstheme="minorHAnsi"/>
                <w:sz w:val="20"/>
                <w:szCs w:val="20"/>
              </w:rPr>
              <w:t>świadczenie o planow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anym czasie realizacji operacji. </w:t>
            </w:r>
            <w:r w:rsidR="000B4197" w:rsidRPr="007D5844">
              <w:rPr>
                <w:rFonts w:asciiTheme="minorHAnsi" w:hAnsiTheme="minorHAnsi" w:cstheme="minorHAnsi"/>
                <w:sz w:val="20"/>
                <w:szCs w:val="20"/>
              </w:rPr>
              <w:t>Oświadczenie powinno zostać złożone pod rygorem odpowiedzialności prawnej „Oświadczam, że informacje zawarte w powyższym oświadczeniu są prawdziwe i zgodne ze stanem prawnym i faktycznym; znane mi są skutki składania fałszywych oświadczeń wynikające z art.  297 ustawy z dnia 6 czerwca 1997 r. Kodeks karny (Dz.U. z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2016 r, poz.1137 z późn. zm.)”. </w:t>
            </w:r>
            <w:r w:rsidR="000B4197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Maksymalna liczba punktów </w:t>
            </w:r>
            <w:r w:rsidR="00B520CB" w:rsidRPr="007D584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0B4197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pkt. Punkty w ramach kryterium nie sumują się</w:t>
            </w:r>
          </w:p>
        </w:tc>
      </w:tr>
      <w:tr w:rsidR="007D5844" w:rsidRPr="007D5844" w:rsidTr="00102E52">
        <w:trPr>
          <w:trHeight w:val="4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114" w:rsidRPr="007D5844" w:rsidRDefault="00165114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114" w:rsidRPr="007D5844" w:rsidRDefault="00165114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114" w:rsidRPr="007D5844" w:rsidRDefault="00165114" w:rsidP="006209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- do 6 miesięcy </w:t>
            </w:r>
          </w:p>
          <w:p w:rsidR="00165114" w:rsidRPr="007D5844" w:rsidRDefault="00165114" w:rsidP="006209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14" w:rsidRPr="007D5844" w:rsidRDefault="00B520CB" w:rsidP="00165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65114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pkt </w:t>
            </w:r>
          </w:p>
          <w:p w:rsidR="00165114" w:rsidRPr="007D5844" w:rsidRDefault="00165114" w:rsidP="006209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14" w:rsidRPr="007D5844" w:rsidRDefault="00165114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5844" w:rsidRPr="007D5844" w:rsidTr="00102E52">
        <w:trPr>
          <w:trHeight w:val="6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14" w:rsidRPr="007D5844" w:rsidRDefault="00165114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14" w:rsidRPr="007D5844" w:rsidRDefault="00165114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114" w:rsidRPr="007D5844" w:rsidRDefault="00165114" w:rsidP="006209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- powyżej 6 miesięcy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14" w:rsidRPr="007D5844" w:rsidRDefault="00165114" w:rsidP="006209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  <w:tc>
          <w:tcPr>
            <w:tcW w:w="8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14" w:rsidRPr="007D5844" w:rsidRDefault="00165114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5844" w:rsidRPr="007D5844" w:rsidTr="007D53C6">
        <w:trPr>
          <w:trHeight w:val="6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C6" w:rsidRPr="007D5844" w:rsidRDefault="007D53C6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6" w:rsidRPr="007D5844" w:rsidRDefault="007D53C6" w:rsidP="005671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Konsultacje w Biurze LGD przed złożeniem wniosku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C6" w:rsidRPr="007D5844" w:rsidRDefault="002404F3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D53C6" w:rsidRPr="007D5844">
              <w:rPr>
                <w:rFonts w:asciiTheme="minorHAnsi" w:hAnsiTheme="minorHAnsi" w:cstheme="minorHAnsi"/>
                <w:sz w:val="20"/>
                <w:szCs w:val="20"/>
              </w:rPr>
              <w:t>nioskodawca korzystał z konsultacji w biurze LGD:</w:t>
            </w:r>
          </w:p>
        </w:tc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C6" w:rsidRPr="007D5844" w:rsidRDefault="007D53C6" w:rsidP="001973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Konsultacja w biurze LGD ma na celu zweryfikowanie, czy operacja wpisuje się w Program i LSR, osiągnie, co najmniej minimalną ilość punktów podczas oceny zgodności z lokalnymi kryteriami oraz czy składany wniosek jest kompletny tj. posiada wszystkie niezbędne załączniki. Została wypełniona karta doradztwa. Konsultacja telefoniczna nie uprawnia do przyznania punktów w ramach oceny przedmiotowego kryterium. </w:t>
            </w:r>
          </w:p>
          <w:p w:rsidR="007D53C6" w:rsidRPr="007D5844" w:rsidRDefault="00594F9E" w:rsidP="0056716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i/>
                <w:sz w:val="20"/>
                <w:szCs w:val="20"/>
              </w:rPr>
              <w:t>Maksymalna liczba punktów5</w:t>
            </w:r>
            <w:r w:rsidR="007D53C6" w:rsidRPr="007D58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pkt. Punkty w ramach kryterium nie sumują się.</w:t>
            </w:r>
          </w:p>
        </w:tc>
      </w:tr>
      <w:tr w:rsidR="007D5844" w:rsidRPr="007D5844" w:rsidTr="008A369A">
        <w:trPr>
          <w:trHeight w:val="3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C6" w:rsidRPr="007D5844" w:rsidRDefault="007D53C6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C6" w:rsidRPr="007D5844" w:rsidRDefault="007D53C6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C6" w:rsidRPr="007D5844" w:rsidRDefault="007D53C6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– TAK 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C6" w:rsidRPr="007D5844" w:rsidRDefault="00594F9E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D53C6"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8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C6" w:rsidRPr="007D5844" w:rsidRDefault="007D53C6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844" w:rsidRPr="007D5844" w:rsidTr="008A369A">
        <w:trPr>
          <w:trHeight w:val="37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C6" w:rsidRPr="007D5844" w:rsidRDefault="007D53C6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6" w:rsidRPr="007D5844" w:rsidRDefault="007D53C6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C6" w:rsidRPr="007D5844" w:rsidRDefault="007D53C6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– NIE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C6" w:rsidRPr="007D5844" w:rsidRDefault="007D53C6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0 pkt.</w:t>
            </w:r>
          </w:p>
        </w:tc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C6" w:rsidRPr="007D5844" w:rsidRDefault="007D53C6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28A" w:rsidRPr="007D5844" w:rsidTr="007D53C6">
        <w:trPr>
          <w:trHeight w:val="6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8A" w:rsidRPr="007D5844" w:rsidRDefault="00DB128A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8A" w:rsidRPr="007D5844" w:rsidRDefault="00DB128A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Rozwój lokalnego rynku pracy</w:t>
            </w: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8A" w:rsidRPr="007D5844" w:rsidRDefault="00DB128A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Operacja przyczyni się do powstania miejsc pracy:</w:t>
            </w:r>
          </w:p>
          <w:p w:rsidR="00DB128A" w:rsidRPr="007D5844" w:rsidRDefault="00DB128A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8A" w:rsidRPr="007D5844" w:rsidRDefault="00DB128A" w:rsidP="00DB12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Ze względu na to, że średni udział bezrobotnych zarejestrowanych w liczbie ludności w wieku produkcyjnym na obszarze LGD jest wyższy niż w województwie zachodniopomorskim bardzo istotne dla obszaru jest rozwój lokalnego rynku pracy. Preferowane są operacje, które tworzą więcej niż 1 miejsce pracy. Jeżeli operacja przyczyni się do powstania miejsc pracy należy podać liczby  osób planowanych do zatrudnienia w ramach realizacji biznesplanu. Maksymalna liczba punktów 18. </w:t>
            </w:r>
          </w:p>
          <w:p w:rsidR="00DB128A" w:rsidRPr="007D5844" w:rsidRDefault="00DB128A" w:rsidP="00DB12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Punkty w ramach kryterium nie sumują się.</w:t>
            </w:r>
          </w:p>
        </w:tc>
      </w:tr>
      <w:tr w:rsidR="00DB128A" w:rsidRPr="007D5844" w:rsidTr="00DB128A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8A" w:rsidRPr="007D5844" w:rsidRDefault="00DB128A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8A" w:rsidRPr="007D5844" w:rsidRDefault="00DB128A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8A" w:rsidRPr="007D5844" w:rsidRDefault="00DB128A" w:rsidP="000E66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66B4">
              <w:rPr>
                <w:rFonts w:asciiTheme="minorHAnsi" w:hAnsiTheme="minorHAnsi" w:cstheme="minorHAnsi"/>
                <w:sz w:val="20"/>
                <w:szCs w:val="20"/>
              </w:rPr>
              <w:t>powyżej dwóch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8A" w:rsidRPr="007D5844" w:rsidRDefault="00DB128A" w:rsidP="00DB12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8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8A" w:rsidRPr="007D5844" w:rsidRDefault="00DB128A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28A" w:rsidRPr="007D5844" w:rsidTr="007D3328">
        <w:trPr>
          <w:trHeight w:val="3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8A" w:rsidRPr="007D5844" w:rsidRDefault="00DB128A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8A" w:rsidRPr="007D5844" w:rsidRDefault="00DB128A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8A" w:rsidRPr="007D5844" w:rsidRDefault="00DB128A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dwóch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8A" w:rsidRPr="007D5844" w:rsidRDefault="00DB128A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pkt</w:t>
            </w:r>
          </w:p>
        </w:tc>
        <w:tc>
          <w:tcPr>
            <w:tcW w:w="8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8A" w:rsidRPr="007D5844" w:rsidRDefault="00DB128A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28A" w:rsidRPr="007D5844" w:rsidTr="00370747">
        <w:trPr>
          <w:trHeight w:val="33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8A" w:rsidRPr="007D5844" w:rsidRDefault="00DB128A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A" w:rsidRPr="007D5844" w:rsidRDefault="00DB128A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8A" w:rsidRPr="007D5844" w:rsidRDefault="00DB128A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– jednego lub nie przewiduje się utworzenia nowego miejsca pracy w ramach operacji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8A" w:rsidRPr="007D5844" w:rsidRDefault="00DB128A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A" w:rsidRPr="007D5844" w:rsidRDefault="00DB128A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28A" w:rsidRPr="007D5844" w:rsidTr="005F04D0">
        <w:trPr>
          <w:trHeight w:val="22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8A" w:rsidRPr="007D5844" w:rsidRDefault="00DB128A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28A" w:rsidRPr="007D5844" w:rsidRDefault="00DB128A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Utrzymanie rynku pracy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8A" w:rsidRPr="007D5844" w:rsidRDefault="00DB128A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Operacja przyczyni się do utrzymania dotychczasowych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miejsc pracy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8A" w:rsidRPr="007D5844" w:rsidRDefault="00DB128A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 pkt.</w:t>
            </w:r>
          </w:p>
        </w:tc>
        <w:tc>
          <w:tcPr>
            <w:tcW w:w="85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474" w:rsidRPr="007D5844" w:rsidRDefault="002A7474" w:rsidP="002A74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Preferowane są operacje, które </w:t>
            </w:r>
            <w:r w:rsidR="008754B6">
              <w:rPr>
                <w:rFonts w:asciiTheme="minorHAnsi" w:hAnsiTheme="minorHAnsi" w:cstheme="minorHAnsi"/>
                <w:sz w:val="20"/>
                <w:szCs w:val="20"/>
              </w:rPr>
              <w:t>gwarantują utrzymanie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dotychczasowych miejsc pracy. 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Jeżeli operacja przyczyni się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utrzymania dotychczasowych miejsc pracy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54B6">
              <w:rPr>
                <w:rFonts w:asciiTheme="minorHAnsi" w:hAnsiTheme="minorHAnsi" w:cstheme="minorHAnsi"/>
                <w:sz w:val="20"/>
                <w:szCs w:val="20"/>
              </w:rPr>
              <w:t>należy podać liczbę osób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które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dzięki </w:t>
            </w:r>
            <w:r w:rsidR="008754B6">
              <w:rPr>
                <w:rFonts w:asciiTheme="minorHAnsi" w:hAnsiTheme="minorHAnsi" w:cstheme="minorHAnsi"/>
                <w:sz w:val="20"/>
                <w:szCs w:val="20"/>
              </w:rPr>
              <w:t xml:space="preserve">tej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operacji  </w:t>
            </w:r>
            <w:r w:rsidR="008754B6">
              <w:rPr>
                <w:rFonts w:asciiTheme="minorHAnsi" w:hAnsiTheme="minorHAnsi" w:cstheme="minorHAnsi"/>
                <w:sz w:val="20"/>
                <w:szCs w:val="20"/>
              </w:rPr>
              <w:t>zachowają stanowiska pracy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Maksymalna liczba punktów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DB128A" w:rsidRPr="007D5844" w:rsidRDefault="002A7474" w:rsidP="002A74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sz w:val="20"/>
                <w:szCs w:val="20"/>
              </w:rPr>
              <w:t>Punkty w ramach kryterium nie sumują się.</w:t>
            </w:r>
          </w:p>
        </w:tc>
      </w:tr>
      <w:tr w:rsidR="00DB128A" w:rsidRPr="007D5844" w:rsidTr="00370747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8A" w:rsidRDefault="00DB128A" w:rsidP="00567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A" w:rsidRDefault="00DB128A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8A" w:rsidRDefault="00DB128A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Operacja nie przyczyni się do utrzymania dotychczasowych miejsc pracy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8A" w:rsidRPr="007D5844" w:rsidRDefault="00DB128A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A" w:rsidRPr="007D5844" w:rsidRDefault="00DB128A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844" w:rsidRPr="007D5844" w:rsidTr="007D53C6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212CE" w:rsidRPr="007D5844" w:rsidRDefault="000212CE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CE" w:rsidRPr="007D5844" w:rsidRDefault="000212CE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CE" w:rsidRPr="007D5844" w:rsidRDefault="000212CE" w:rsidP="005671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844">
              <w:rPr>
                <w:rFonts w:asciiTheme="minorHAnsi" w:hAnsiTheme="minorHAnsi" w:cstheme="minorHAnsi"/>
                <w:b/>
                <w:sz w:val="20"/>
                <w:szCs w:val="20"/>
              </w:rPr>
              <w:t>SUMA OCEN: 0 – 100 pkt.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CE" w:rsidRPr="007D5844" w:rsidRDefault="000212CE" w:rsidP="005671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12CE" w:rsidRDefault="000212CE" w:rsidP="000212CE">
      <w:pPr>
        <w:ind w:left="-284"/>
        <w:rPr>
          <w:rFonts w:ascii="Times New Roman" w:hAnsi="Times New Roman"/>
        </w:rPr>
      </w:pPr>
    </w:p>
    <w:p w:rsidR="000212CE" w:rsidRDefault="000212CE" w:rsidP="000212CE">
      <w:pPr>
        <w:tabs>
          <w:tab w:val="left" w:pos="0"/>
        </w:tabs>
        <w:spacing w:after="0" w:line="240" w:lineRule="auto"/>
        <w:ind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Maksymalna ilość pkt.:  100 </w:t>
      </w:r>
    </w:p>
    <w:p w:rsidR="000212CE" w:rsidRDefault="000212CE" w:rsidP="000212CE">
      <w:pPr>
        <w:tabs>
          <w:tab w:val="left" w:pos="0"/>
        </w:tabs>
        <w:spacing w:after="0" w:line="240" w:lineRule="auto"/>
        <w:ind w:hanging="426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Minimalna ilość pkt.:        40</w:t>
      </w:r>
    </w:p>
    <w:p w:rsidR="00213671" w:rsidRDefault="00213671"/>
    <w:sectPr w:rsidR="00213671" w:rsidSect="009C233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B9" w:rsidRDefault="005B27B9" w:rsidP="007C7CD6">
      <w:pPr>
        <w:spacing w:after="0" w:line="240" w:lineRule="auto"/>
      </w:pPr>
      <w:r>
        <w:separator/>
      </w:r>
    </w:p>
  </w:endnote>
  <w:endnote w:type="continuationSeparator" w:id="0">
    <w:p w:rsidR="005B27B9" w:rsidRDefault="005B27B9" w:rsidP="007C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21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C7CD6" w:rsidRDefault="007C7C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A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A0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7CD6" w:rsidRDefault="007C7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B9" w:rsidRDefault="005B27B9" w:rsidP="007C7CD6">
      <w:pPr>
        <w:spacing w:after="0" w:line="240" w:lineRule="auto"/>
      </w:pPr>
      <w:r>
        <w:separator/>
      </w:r>
    </w:p>
  </w:footnote>
  <w:footnote w:type="continuationSeparator" w:id="0">
    <w:p w:rsidR="005B27B9" w:rsidRDefault="005B27B9" w:rsidP="007C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44" w:rsidRDefault="007D5844">
    <w:pPr>
      <w:pStyle w:val="Nagwek"/>
    </w:pPr>
    <w:r>
      <w:rPr>
        <w:noProof/>
        <w:lang w:eastAsia="pl-PL"/>
      </w:rPr>
      <w:drawing>
        <wp:inline distT="0" distB="0" distL="0" distR="0">
          <wp:extent cx="8892540" cy="983060"/>
          <wp:effectExtent l="0" t="0" r="3810" b="7620"/>
          <wp:docPr id="2" name="Obraz 2" descr="C:\Users\2\Desktop\nowe-logotypy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\Desktop\nowe-logotypy-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98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8DB"/>
    <w:multiLevelType w:val="hybridMultilevel"/>
    <w:tmpl w:val="3EF4A5E6"/>
    <w:lvl w:ilvl="0" w:tplc="BEFEC684">
      <w:start w:val="1"/>
      <w:numFmt w:val="upperRoman"/>
      <w:lvlText w:val="%1.1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B6"/>
    <w:rsid w:val="000212CE"/>
    <w:rsid w:val="00026EB8"/>
    <w:rsid w:val="00033F3D"/>
    <w:rsid w:val="000B4197"/>
    <w:rsid w:val="000D7810"/>
    <w:rsid w:val="000E4705"/>
    <w:rsid w:val="000E66B4"/>
    <w:rsid w:val="00102E52"/>
    <w:rsid w:val="001049F9"/>
    <w:rsid w:val="00150485"/>
    <w:rsid w:val="00165114"/>
    <w:rsid w:val="001973AF"/>
    <w:rsid w:val="001E0BAF"/>
    <w:rsid w:val="001E187F"/>
    <w:rsid w:val="001F3311"/>
    <w:rsid w:val="00213671"/>
    <w:rsid w:val="002404F3"/>
    <w:rsid w:val="00293AC3"/>
    <w:rsid w:val="002A7474"/>
    <w:rsid w:val="002C2DFD"/>
    <w:rsid w:val="00305E93"/>
    <w:rsid w:val="0033702A"/>
    <w:rsid w:val="003474A3"/>
    <w:rsid w:val="00390FDC"/>
    <w:rsid w:val="003D6465"/>
    <w:rsid w:val="00474D05"/>
    <w:rsid w:val="00484954"/>
    <w:rsid w:val="004A2778"/>
    <w:rsid w:val="004B05D0"/>
    <w:rsid w:val="00547F1D"/>
    <w:rsid w:val="00594F9E"/>
    <w:rsid w:val="005B27B9"/>
    <w:rsid w:val="00620904"/>
    <w:rsid w:val="00626A70"/>
    <w:rsid w:val="006364EF"/>
    <w:rsid w:val="006551CA"/>
    <w:rsid w:val="00662547"/>
    <w:rsid w:val="006A4EDB"/>
    <w:rsid w:val="006C2EFB"/>
    <w:rsid w:val="006F2A45"/>
    <w:rsid w:val="007115A0"/>
    <w:rsid w:val="007C15BD"/>
    <w:rsid w:val="007C7CD6"/>
    <w:rsid w:val="007D53C6"/>
    <w:rsid w:val="007D5844"/>
    <w:rsid w:val="007E2281"/>
    <w:rsid w:val="00873DA2"/>
    <w:rsid w:val="008754B6"/>
    <w:rsid w:val="00883518"/>
    <w:rsid w:val="008A369A"/>
    <w:rsid w:val="008C480C"/>
    <w:rsid w:val="00901F97"/>
    <w:rsid w:val="009153D6"/>
    <w:rsid w:val="00976B74"/>
    <w:rsid w:val="00982ABC"/>
    <w:rsid w:val="009C2331"/>
    <w:rsid w:val="00A96076"/>
    <w:rsid w:val="00B146A3"/>
    <w:rsid w:val="00B171E1"/>
    <w:rsid w:val="00B520CB"/>
    <w:rsid w:val="00B71CEB"/>
    <w:rsid w:val="00BC6976"/>
    <w:rsid w:val="00C32410"/>
    <w:rsid w:val="00C40CA4"/>
    <w:rsid w:val="00C53796"/>
    <w:rsid w:val="00C56D32"/>
    <w:rsid w:val="00C773F1"/>
    <w:rsid w:val="00C93BFF"/>
    <w:rsid w:val="00CB7715"/>
    <w:rsid w:val="00CC6915"/>
    <w:rsid w:val="00D2353E"/>
    <w:rsid w:val="00D5245A"/>
    <w:rsid w:val="00D666D4"/>
    <w:rsid w:val="00D673B6"/>
    <w:rsid w:val="00D76F6A"/>
    <w:rsid w:val="00DB128A"/>
    <w:rsid w:val="00E40AF9"/>
    <w:rsid w:val="00F07A01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2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F1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7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C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7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CD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91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91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6F2A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2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F1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7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C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7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CD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91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91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6F2A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2BA2-DE6A-4750-B68A-92F6DFA9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2046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LGR_4</cp:lastModifiedBy>
  <cp:revision>2</cp:revision>
  <cp:lastPrinted>2019-03-01T10:12:00Z</cp:lastPrinted>
  <dcterms:created xsi:type="dcterms:W3CDTF">2019-03-26T08:54:00Z</dcterms:created>
  <dcterms:modified xsi:type="dcterms:W3CDTF">2019-03-26T08:54:00Z</dcterms:modified>
</cp:coreProperties>
</file>